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R4-2208731</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Views on the statistical tests for Te requirements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9.15.9</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RAN4 102-e, there were discussions on the Rx beam sweeping factor for FR2-2 compared to FR2-1.</w:t>
      </w:r>
    </w:p>
    <w:p>
      <w:pPr>
        <w:rPr>
          <w:rFonts w:hint="default" w:eastAsia="宋体"/>
          <w:sz w:val="22"/>
          <w:szCs w:val="22"/>
          <w:lang w:val="en-US" w:eastAsia="zh-CN"/>
        </w:rPr>
      </w:pPr>
      <w:r>
        <w:rPr>
          <w:rFonts w:hint="eastAsia" w:eastAsia="宋体"/>
          <w:sz w:val="22"/>
          <w:szCs w:val="22"/>
          <w:lang w:val="en-US" w:eastAsia="zh-CN"/>
        </w:rPr>
        <w:t>In the WF [1] the options were captured, and we copy paste the issue here to further discuss.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bCs/>
                <w:u w:val="single"/>
                <w:lang w:val="en-US" w:eastAsia="ja-JP" w:bidi="hi-IN"/>
              </w:rPr>
            </w:pPr>
            <w:r>
              <w:rPr>
                <w:b/>
                <w:bCs/>
                <w:u w:val="single"/>
                <w:lang w:val="en-US" w:eastAsia="ja-JP" w:bidi="hi-IN"/>
              </w:rPr>
              <w:t>Percentage of UL CP length Te can occupy for UL SCS of 480/960 kHz</w:t>
            </w:r>
          </w:p>
          <w:p>
            <w:pPr>
              <w:numPr>
                <w:ilvl w:val="0"/>
                <w:numId w:val="6"/>
              </w:numPr>
              <w:overflowPunct/>
              <w:autoSpaceDE/>
              <w:autoSpaceDN/>
              <w:adjustRightInd/>
              <w:spacing w:before="0" w:after="180"/>
              <w:textAlignment w:val="auto"/>
              <w:rPr>
                <w:rFonts w:eastAsia="等线"/>
                <w:iCs/>
                <w:highlight w:val="green"/>
                <w:lang w:val="en-US" w:eastAsia="zh-CN"/>
              </w:rPr>
            </w:pPr>
            <w:r>
              <w:rPr>
                <w:rFonts w:eastAsia="等线"/>
                <w:iCs/>
                <w:highlight w:val="green"/>
                <w:lang w:val="en-US" w:eastAsia="zh-CN"/>
              </w:rPr>
              <w:t>For UL SCS of 480/960 kHz, a UE is required to meet the UL timing accuracy requirements if an SSB is available in the last X ms.</w:t>
            </w:r>
          </w:p>
          <w:p>
            <w:pPr>
              <w:numPr>
                <w:ilvl w:val="1"/>
                <w:numId w:val="6"/>
              </w:numPr>
              <w:overflowPunct/>
              <w:autoSpaceDE/>
              <w:autoSpaceDN/>
              <w:adjustRightInd/>
              <w:spacing w:before="0" w:after="180"/>
              <w:textAlignment w:val="auto"/>
              <w:rPr>
                <w:highlight w:val="green"/>
                <w:lang w:val="en-US" w:eastAsia="ja-JP" w:bidi="hi-IN"/>
              </w:rPr>
            </w:pPr>
            <w:r>
              <w:rPr>
                <w:highlight w:val="green"/>
                <w:lang w:val="en-US" w:eastAsia="ja-JP" w:bidi="hi-IN"/>
              </w:rPr>
              <w:t>For X = 80ms</w:t>
            </w:r>
          </w:p>
          <w:tbl>
            <w:tblPr>
              <w:tblStyle w:val="69"/>
              <w:tblW w:w="2790" w:type="dxa"/>
              <w:tblInd w:w="14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5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5" w:type="dxa"/>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SSB SCS</w:t>
                  </w:r>
                </w:p>
              </w:tc>
              <w:tc>
                <w:tcPr>
                  <w:tcW w:w="855" w:type="dxa"/>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UL SCS</w:t>
                  </w:r>
                </w:p>
              </w:tc>
              <w:tc>
                <w:tcPr>
                  <w:tcW w:w="1080" w:type="dxa"/>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 xml:space="preserve">Te/CP Ratio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5" w:type="dxa"/>
                  <w:noWrap/>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120</w:t>
                  </w:r>
                </w:p>
              </w:tc>
              <w:tc>
                <w:tcPr>
                  <w:tcW w:w="855" w:type="dxa"/>
                  <w:noWrap/>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480</w:t>
                  </w:r>
                </w:p>
              </w:tc>
              <w:tc>
                <w:tcPr>
                  <w:tcW w:w="1080" w:type="dxa"/>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5" w:type="dxa"/>
                  <w:noWrap/>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480</w:t>
                  </w:r>
                </w:p>
              </w:tc>
              <w:tc>
                <w:tcPr>
                  <w:tcW w:w="855" w:type="dxa"/>
                  <w:noWrap/>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480</w:t>
                  </w:r>
                </w:p>
              </w:tc>
              <w:tc>
                <w:tcPr>
                  <w:tcW w:w="1080" w:type="dxa"/>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5" w:type="dxa"/>
                  <w:noWrap/>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960</w:t>
                  </w:r>
                </w:p>
              </w:tc>
              <w:tc>
                <w:tcPr>
                  <w:tcW w:w="855" w:type="dxa"/>
                  <w:noWrap/>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480</w:t>
                  </w:r>
                </w:p>
              </w:tc>
              <w:tc>
                <w:tcPr>
                  <w:tcW w:w="1080" w:type="dxa"/>
                  <w:vAlign w:val="center"/>
                </w:tcPr>
                <w:p>
                  <w:pPr>
                    <w:overflowPunct/>
                    <w:autoSpaceDE/>
                    <w:autoSpaceDN/>
                    <w:adjustRightInd/>
                    <w:spacing w:before="0" w:after="0"/>
                    <w:jc w:val="center"/>
                    <w:textAlignment w:val="auto"/>
                    <w:rPr>
                      <w:sz w:val="16"/>
                      <w:szCs w:val="16"/>
                      <w:highlight w:val="green"/>
                      <w:lang w:eastAsia="zh-CN"/>
                    </w:rPr>
                  </w:pPr>
                  <w:r>
                    <w:rPr>
                      <w:sz w:val="16"/>
                      <w:szCs w:val="16"/>
                      <w:highlight w:val="green"/>
                      <w:lang w:eastAsia="zh-CN"/>
                    </w:rPr>
                    <w:t>[0.25]</w:t>
                  </w:r>
                </w:p>
              </w:tc>
            </w:tr>
          </w:tbl>
          <w:p>
            <w:pPr>
              <w:overflowPunct/>
              <w:autoSpaceDE/>
              <w:autoSpaceDN/>
              <w:adjustRightInd/>
              <w:spacing w:before="0" w:after="180"/>
              <w:textAlignment w:val="auto"/>
              <w:rPr>
                <w:highlight w:val="green"/>
                <w:lang w:val="en-US" w:eastAsia="ja-JP" w:bidi="hi-IN"/>
              </w:rPr>
            </w:pPr>
          </w:p>
          <w:p>
            <w:pPr>
              <w:numPr>
                <w:ilvl w:val="1"/>
                <w:numId w:val="6"/>
              </w:numPr>
              <w:overflowPunct/>
              <w:autoSpaceDE/>
              <w:autoSpaceDN/>
              <w:adjustRightInd/>
              <w:spacing w:before="0" w:after="180"/>
              <w:textAlignment w:val="auto"/>
              <w:rPr>
                <w:highlight w:val="green"/>
                <w:lang w:val="en-US" w:eastAsia="ja-JP" w:bidi="hi-IN"/>
              </w:rPr>
            </w:pPr>
            <w:r>
              <w:rPr>
                <w:highlight w:val="green"/>
                <w:lang w:val="en-US" w:eastAsia="ja-JP" w:bidi="hi-IN"/>
              </w:rPr>
              <w:t>For X = 40ms</w:t>
            </w:r>
          </w:p>
          <w:tbl>
            <w:tblPr>
              <w:tblStyle w:val="69"/>
              <w:tblW w:w="2857" w:type="dxa"/>
              <w:tblInd w:w="14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55"/>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5" w:type="dxa"/>
                  <w:vAlign w:val="center"/>
                </w:tcPr>
                <w:p>
                  <w:pPr>
                    <w:spacing w:after="0"/>
                    <w:jc w:val="center"/>
                    <w:rPr>
                      <w:sz w:val="16"/>
                      <w:szCs w:val="16"/>
                      <w:highlight w:val="green"/>
                      <w:lang w:eastAsia="zh-CN"/>
                    </w:rPr>
                  </w:pPr>
                  <w:r>
                    <w:rPr>
                      <w:sz w:val="16"/>
                      <w:szCs w:val="16"/>
                      <w:highlight w:val="green"/>
                      <w:lang w:eastAsia="zh-CN"/>
                    </w:rPr>
                    <w:t>SSB SCS</w:t>
                  </w:r>
                </w:p>
              </w:tc>
              <w:tc>
                <w:tcPr>
                  <w:tcW w:w="855" w:type="dxa"/>
                  <w:vAlign w:val="center"/>
                </w:tcPr>
                <w:p>
                  <w:pPr>
                    <w:spacing w:after="0"/>
                    <w:jc w:val="center"/>
                    <w:rPr>
                      <w:sz w:val="16"/>
                      <w:szCs w:val="16"/>
                      <w:highlight w:val="green"/>
                      <w:lang w:eastAsia="zh-CN"/>
                    </w:rPr>
                  </w:pPr>
                  <w:r>
                    <w:rPr>
                      <w:sz w:val="16"/>
                      <w:szCs w:val="16"/>
                      <w:highlight w:val="green"/>
                      <w:lang w:eastAsia="zh-CN"/>
                    </w:rPr>
                    <w:t>UL SCS</w:t>
                  </w:r>
                </w:p>
              </w:tc>
              <w:tc>
                <w:tcPr>
                  <w:tcW w:w="1147" w:type="dxa"/>
                  <w:vAlign w:val="center"/>
                </w:tcPr>
                <w:p>
                  <w:pPr>
                    <w:spacing w:after="0"/>
                    <w:jc w:val="center"/>
                    <w:rPr>
                      <w:sz w:val="16"/>
                      <w:szCs w:val="16"/>
                      <w:highlight w:val="green"/>
                      <w:lang w:eastAsia="zh-CN"/>
                    </w:rPr>
                  </w:pPr>
                  <w:r>
                    <w:rPr>
                      <w:sz w:val="16"/>
                      <w:szCs w:val="16"/>
                      <w:highlight w:val="green"/>
                      <w:lang w:eastAsia="zh-CN"/>
                    </w:rPr>
                    <w:t>Te/CP Ratio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5" w:type="dxa"/>
                  <w:noWrap/>
                  <w:vAlign w:val="center"/>
                </w:tcPr>
                <w:p>
                  <w:pPr>
                    <w:spacing w:after="0"/>
                    <w:jc w:val="center"/>
                    <w:rPr>
                      <w:sz w:val="16"/>
                      <w:szCs w:val="16"/>
                      <w:highlight w:val="green"/>
                      <w:lang w:eastAsia="zh-CN"/>
                    </w:rPr>
                  </w:pPr>
                  <w:r>
                    <w:rPr>
                      <w:sz w:val="16"/>
                      <w:szCs w:val="16"/>
                      <w:highlight w:val="green"/>
                      <w:lang w:eastAsia="zh-CN"/>
                    </w:rPr>
                    <w:t>480</w:t>
                  </w:r>
                </w:p>
              </w:tc>
              <w:tc>
                <w:tcPr>
                  <w:tcW w:w="855" w:type="dxa"/>
                  <w:noWrap/>
                  <w:vAlign w:val="center"/>
                </w:tcPr>
                <w:p>
                  <w:pPr>
                    <w:spacing w:after="0"/>
                    <w:jc w:val="center"/>
                    <w:rPr>
                      <w:sz w:val="16"/>
                      <w:szCs w:val="16"/>
                      <w:highlight w:val="green"/>
                      <w:lang w:eastAsia="zh-CN"/>
                    </w:rPr>
                  </w:pPr>
                  <w:r>
                    <w:rPr>
                      <w:sz w:val="16"/>
                      <w:szCs w:val="16"/>
                      <w:highlight w:val="green"/>
                      <w:lang w:eastAsia="zh-CN"/>
                    </w:rPr>
                    <w:t>960</w:t>
                  </w:r>
                </w:p>
              </w:tc>
              <w:tc>
                <w:tcPr>
                  <w:tcW w:w="1147" w:type="dxa"/>
                  <w:vAlign w:val="center"/>
                </w:tcPr>
                <w:p>
                  <w:pPr>
                    <w:spacing w:after="0"/>
                    <w:jc w:val="center"/>
                    <w:rPr>
                      <w:sz w:val="16"/>
                      <w:szCs w:val="16"/>
                      <w:highlight w:val="green"/>
                      <w:lang w:eastAsia="zh-CN"/>
                    </w:rPr>
                  </w:pPr>
                  <w:r>
                    <w:rPr>
                      <w:sz w:val="16"/>
                      <w:szCs w:val="16"/>
                      <w:highlight w:val="green"/>
                      <w:lang w:eastAsia="zh-CN"/>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5" w:type="dxa"/>
                  <w:noWrap/>
                  <w:vAlign w:val="center"/>
                </w:tcPr>
                <w:p>
                  <w:pPr>
                    <w:spacing w:after="0"/>
                    <w:jc w:val="center"/>
                    <w:rPr>
                      <w:sz w:val="16"/>
                      <w:szCs w:val="16"/>
                      <w:highlight w:val="green"/>
                      <w:lang w:eastAsia="zh-CN"/>
                    </w:rPr>
                  </w:pPr>
                  <w:r>
                    <w:rPr>
                      <w:sz w:val="16"/>
                      <w:szCs w:val="16"/>
                      <w:highlight w:val="green"/>
                      <w:lang w:eastAsia="zh-CN"/>
                    </w:rPr>
                    <w:t>960</w:t>
                  </w:r>
                </w:p>
              </w:tc>
              <w:tc>
                <w:tcPr>
                  <w:tcW w:w="855" w:type="dxa"/>
                  <w:noWrap/>
                  <w:vAlign w:val="center"/>
                </w:tcPr>
                <w:p>
                  <w:pPr>
                    <w:spacing w:after="0"/>
                    <w:jc w:val="center"/>
                    <w:rPr>
                      <w:sz w:val="16"/>
                      <w:szCs w:val="16"/>
                      <w:highlight w:val="green"/>
                      <w:lang w:eastAsia="zh-CN"/>
                    </w:rPr>
                  </w:pPr>
                  <w:r>
                    <w:rPr>
                      <w:sz w:val="16"/>
                      <w:szCs w:val="16"/>
                      <w:highlight w:val="green"/>
                      <w:lang w:eastAsia="zh-CN"/>
                    </w:rPr>
                    <w:t>960</w:t>
                  </w:r>
                </w:p>
              </w:tc>
              <w:tc>
                <w:tcPr>
                  <w:tcW w:w="1147" w:type="dxa"/>
                  <w:vAlign w:val="center"/>
                </w:tcPr>
                <w:p>
                  <w:pPr>
                    <w:spacing w:after="0"/>
                    <w:jc w:val="center"/>
                    <w:rPr>
                      <w:sz w:val="16"/>
                      <w:szCs w:val="16"/>
                      <w:lang w:eastAsia="zh-CN"/>
                    </w:rPr>
                  </w:pPr>
                  <w:r>
                    <w:rPr>
                      <w:sz w:val="16"/>
                      <w:szCs w:val="16"/>
                      <w:highlight w:val="green"/>
                      <w:lang w:eastAsia="zh-CN"/>
                    </w:rPr>
                    <w:t>[0.38]</w:t>
                  </w:r>
                </w:p>
              </w:tc>
            </w:tr>
          </w:tbl>
          <w:p>
            <w:pPr>
              <w:overflowPunct/>
              <w:autoSpaceDE/>
              <w:autoSpaceDN/>
              <w:adjustRightInd/>
              <w:spacing w:before="0" w:after="180"/>
              <w:textAlignment w:val="auto"/>
              <w:rPr>
                <w:highlight w:val="green"/>
                <w:lang w:val="en-US" w:eastAsia="ja-JP" w:bidi="hi-IN"/>
              </w:rPr>
            </w:pPr>
          </w:p>
          <w:p>
            <w:pPr>
              <w:numPr>
                <w:ilvl w:val="1"/>
                <w:numId w:val="6"/>
              </w:numPr>
              <w:overflowPunct/>
              <w:autoSpaceDE/>
              <w:autoSpaceDN/>
              <w:adjustRightInd/>
              <w:spacing w:before="0" w:after="180"/>
              <w:textAlignment w:val="auto"/>
              <w:rPr>
                <w:highlight w:val="green"/>
                <w:lang w:val="en-US" w:eastAsia="ja-JP" w:bidi="hi-IN"/>
              </w:rPr>
            </w:pPr>
            <w:r>
              <w:rPr>
                <w:highlight w:val="green"/>
                <w:lang w:val="en-US" w:eastAsia="ja-JP" w:bidi="hi-IN"/>
              </w:rPr>
              <w:t>Test cases for Te requirements for FR2-2 will be designed as having statistical nature</w:t>
            </w:r>
          </w:p>
          <w:p>
            <w:pPr>
              <w:numPr>
                <w:ilvl w:val="2"/>
                <w:numId w:val="6"/>
              </w:numPr>
              <w:overflowPunct/>
              <w:autoSpaceDE/>
              <w:autoSpaceDN/>
              <w:adjustRightInd/>
              <w:spacing w:before="0" w:after="180"/>
              <w:textAlignment w:val="auto"/>
              <w:rPr>
                <w:rFonts w:hint="eastAsia" w:eastAsia="Times New Roman"/>
                <w:lang w:val="en-US" w:eastAsia="zh-CN"/>
              </w:rPr>
            </w:pPr>
            <w:r>
              <w:rPr>
                <w:highlight w:val="green"/>
                <w:lang w:val="en-US" w:eastAsia="ja-JP" w:bidi="hi-IN"/>
              </w:rPr>
              <w:t>Option 1: The rate of UE meeting the Te requirement observed during repeated tests shall be at least [90%].</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default" w:eastAsia="宋体"/>
          <w:b/>
          <w:color w:val="000000" w:themeColor="text1"/>
          <w:u w:val="single"/>
          <w:lang w:val="en-US" w:eastAsia="zh-CN"/>
          <w14:textFill>
            <w14:solidFill>
              <w14:schemeClr w14:val="tx1"/>
            </w14:solidFill>
          </w14:textFill>
        </w:rPr>
      </w:pPr>
      <w:r>
        <w:rPr>
          <w:rFonts w:hint="eastAsia" w:eastAsia="宋体"/>
          <w:b/>
          <w:color w:val="000000" w:themeColor="text1"/>
          <w:u w:val="single"/>
          <w:lang w:val="en-US" w:eastAsia="zh-CN"/>
          <w14:textFill>
            <w14:solidFill>
              <w14:schemeClr w14:val="tx1"/>
            </w14:solidFill>
          </w14:textFill>
        </w:rPr>
        <w:t>Statistical tests</w:t>
      </w:r>
    </w:p>
    <w:p>
      <w:pPr>
        <w:rPr>
          <w:rFonts w:hint="eastAsia"/>
          <w:b w:val="0"/>
          <w:bCs/>
          <w:sz w:val="22"/>
          <w:szCs w:val="22"/>
          <w:lang w:val="en-US" w:eastAsia="zh-CN"/>
        </w:rPr>
      </w:pPr>
      <w:r>
        <w:rPr>
          <w:rFonts w:hint="eastAsia"/>
          <w:b w:val="0"/>
          <w:bCs/>
          <w:sz w:val="22"/>
          <w:szCs w:val="22"/>
          <w:lang w:val="en-US" w:eastAsia="zh-CN"/>
        </w:rPr>
        <w:t>First of all we note that it</w:t>
      </w:r>
      <w:r>
        <w:rPr>
          <w:rFonts w:hint="default"/>
          <w:b w:val="0"/>
          <w:bCs/>
          <w:sz w:val="22"/>
          <w:szCs w:val="22"/>
          <w:lang w:val="en-US" w:eastAsia="zh-CN"/>
        </w:rPr>
        <w:t>’</w:t>
      </w:r>
      <w:r>
        <w:rPr>
          <w:rFonts w:hint="eastAsia"/>
          <w:b w:val="0"/>
          <w:bCs/>
          <w:sz w:val="22"/>
          <w:szCs w:val="22"/>
          <w:lang w:val="en-US" w:eastAsia="zh-CN"/>
        </w:rPr>
        <w:t>s natural for RRM tests to be validated under a statistical meaning, and usually it</w:t>
      </w:r>
      <w:r>
        <w:rPr>
          <w:rFonts w:hint="default"/>
          <w:b w:val="0"/>
          <w:bCs/>
          <w:sz w:val="22"/>
          <w:szCs w:val="22"/>
          <w:lang w:val="en-US" w:eastAsia="zh-CN"/>
        </w:rPr>
        <w:t>’</w:t>
      </w:r>
      <w:r>
        <w:rPr>
          <w:rFonts w:hint="eastAsia"/>
          <w:b w:val="0"/>
          <w:bCs/>
          <w:sz w:val="22"/>
          <w:szCs w:val="22"/>
          <w:lang w:val="en-US" w:eastAsia="zh-CN"/>
        </w:rPr>
        <w:t>s mandated that the UE would pass the tests 90% of the time. However, as also reflected during the discussions last meeting, the core requirement on Te is already a maximum allowed value, and the UE shall theoretically meet this requirement 100% of the time given proper test configurations. In this case, having the test defined in a statistical way is equivalent to relaxing the core requirements. Te requirements pertain to critical aspects of the network and may have impact to not only one UE but the entire cell, and thus, we prefer not to have any relaxation when doing the test.</w:t>
      </w:r>
    </w:p>
    <w:p>
      <w:pPr>
        <w:rPr>
          <w:rFonts w:hint="default"/>
          <w:b w:val="0"/>
          <w:bCs/>
          <w:sz w:val="22"/>
          <w:szCs w:val="22"/>
          <w:lang w:val="en-US" w:eastAsia="zh-CN"/>
        </w:rPr>
      </w:pPr>
      <w:r>
        <w:rPr>
          <w:rFonts w:hint="eastAsia"/>
          <w:b w:val="0"/>
          <w:bCs/>
          <w:sz w:val="22"/>
          <w:szCs w:val="22"/>
          <w:lang w:val="en-US" w:eastAsia="zh-CN"/>
        </w:rPr>
        <w:t>A compromise as we see is to have a higher success rate required for the UE to pass the tests, for example 95%.</w:t>
      </w:r>
    </w:p>
    <w:p>
      <w:pPr>
        <w:pStyle w:val="36"/>
        <w:rPr>
          <w:rFonts w:hint="default"/>
          <w:b w:val="0"/>
          <w:bCs/>
          <w:sz w:val="22"/>
          <w:szCs w:val="22"/>
          <w:lang w:val="en-US" w:eastAsia="zh-CN"/>
        </w:rPr>
      </w:pPr>
      <w:r>
        <w:rPr>
          <w:rFonts w:hint="eastAsia"/>
          <w:b/>
          <w:bCs w:val="0"/>
          <w:sz w:val="22"/>
          <w:szCs w:val="22"/>
          <w:lang w:val="en-US" w:eastAsia="zh-CN"/>
        </w:rPr>
        <w:t>The rate of UE meeting the Te requirement observed during repeated tests shall be at least 95%.</w:t>
      </w:r>
    </w:p>
    <w:p>
      <w:pPr>
        <w:pStyle w:val="28"/>
        <w:jc w:val="both"/>
      </w:pPr>
      <w:r>
        <w:rPr>
          <w:rFonts w:hint="eastAsia"/>
          <w:lang w:val="en-US" w:eastAsia="zh-CN"/>
        </w:rPr>
        <w:t>3</w:t>
      </w:r>
      <w:r>
        <w:tab/>
      </w:r>
      <w:r>
        <w:t>Conclusion</w:t>
      </w:r>
    </w:p>
    <w:p>
      <w:pPr>
        <w:pStyle w:val="36"/>
        <w:numPr>
          <w:ilvl w:val="0"/>
          <w:numId w:val="0"/>
        </w:numPr>
        <w:ind w:leftChars="0"/>
        <w:rPr>
          <w:rFonts w:hint="eastAsia"/>
          <w:b/>
          <w:bCs w:val="0"/>
          <w:sz w:val="22"/>
          <w:szCs w:val="22"/>
          <w:lang w:val="en-US" w:eastAsia="zh-CN"/>
        </w:rPr>
      </w:pPr>
      <w:r>
        <w:rPr>
          <w:rFonts w:hint="eastAsia"/>
          <w:b/>
          <w:bCs w:val="0"/>
          <w:sz w:val="22"/>
          <w:szCs w:val="22"/>
          <w:lang w:val="en-US" w:eastAsia="zh-CN"/>
        </w:rPr>
        <w:t>Proposal 1: The rate of UE meeting the Te requirement observed during repeated tests shall be at least 95%.</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R4-2206919</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5F754B9"/>
    <w:multiLevelType w:val="multilevel"/>
    <w:tmpl w:val="45F754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8840DB"/>
    <w:rsid w:val="039A1BDA"/>
    <w:rsid w:val="03AE4991"/>
    <w:rsid w:val="03C6506D"/>
    <w:rsid w:val="03EB68E0"/>
    <w:rsid w:val="03F37217"/>
    <w:rsid w:val="04394A7A"/>
    <w:rsid w:val="04437649"/>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AE73964"/>
    <w:rsid w:val="0B0E3CBB"/>
    <w:rsid w:val="0B7322DC"/>
    <w:rsid w:val="0B73279C"/>
    <w:rsid w:val="0BB77882"/>
    <w:rsid w:val="0C2966BC"/>
    <w:rsid w:val="0C2A1653"/>
    <w:rsid w:val="0C3C5307"/>
    <w:rsid w:val="0C3E160C"/>
    <w:rsid w:val="0C56263C"/>
    <w:rsid w:val="0C5E2B8A"/>
    <w:rsid w:val="0D102274"/>
    <w:rsid w:val="0D396824"/>
    <w:rsid w:val="0D7C260E"/>
    <w:rsid w:val="0D9D0080"/>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565D1"/>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9C34AF"/>
    <w:rsid w:val="18D3414F"/>
    <w:rsid w:val="18D91924"/>
    <w:rsid w:val="194132DA"/>
    <w:rsid w:val="19566969"/>
    <w:rsid w:val="195A003F"/>
    <w:rsid w:val="19831412"/>
    <w:rsid w:val="199B5421"/>
    <w:rsid w:val="19A42C5F"/>
    <w:rsid w:val="19A96435"/>
    <w:rsid w:val="19E43A3D"/>
    <w:rsid w:val="1A0B3A21"/>
    <w:rsid w:val="1A352FE3"/>
    <w:rsid w:val="1ADD0B64"/>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0E79C1"/>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5A4D7A"/>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B94577"/>
    <w:rsid w:val="32EE27B2"/>
    <w:rsid w:val="330230FE"/>
    <w:rsid w:val="33372789"/>
    <w:rsid w:val="333876C2"/>
    <w:rsid w:val="33484A1E"/>
    <w:rsid w:val="335F47E9"/>
    <w:rsid w:val="33FB17D8"/>
    <w:rsid w:val="3429440A"/>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075A4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68283D"/>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0D34B7"/>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531F03"/>
    <w:rsid w:val="51773E2A"/>
    <w:rsid w:val="51806151"/>
    <w:rsid w:val="51A40397"/>
    <w:rsid w:val="51C53170"/>
    <w:rsid w:val="52012FAC"/>
    <w:rsid w:val="5280421D"/>
    <w:rsid w:val="52BF27F0"/>
    <w:rsid w:val="52C8624A"/>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7E711B1"/>
    <w:rsid w:val="586B2608"/>
    <w:rsid w:val="5879595C"/>
    <w:rsid w:val="588331BE"/>
    <w:rsid w:val="58BB0B43"/>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B3228B"/>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2B43B8"/>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5CD795C"/>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22207"/>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560C4A"/>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 w:type="table" w:customStyle="1" w:styleId="69">
    <w:name w:val="Tabellengitternetz1"/>
    <w:basedOn w:val="18"/>
    <w:qFormat/>
    <w:uiPriority w:val="0"/>
    <w:pPr>
      <w:spacing w:after="0" w:line="240" w:lineRule="auto"/>
    </w:pPr>
    <w:rPr>
      <w:rFonts w:ascii="Times New Roman" w:hAnsi="Times New Roman" w:eastAsia="宋体" w:cs="Times New Roman"/>
      <w:sz w:val="20"/>
      <w:szCs w:val="20"/>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2022-04-25T09:24:34Z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